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Экспертиза политики и управленческих систем</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«Экспертиза политики и управленческих систем»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«Экспертиза политики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управленческих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«Экспертиза политики и управленческих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саморазвития и самообразования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выстраивать собственный имидж</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выстраивания успешного имиджа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«Экспертиза политики и управленческих систем» относится к обязательной части, является дисциплиной Блока Б1. «Дисциплины (модули)». Научно- 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Этнополитология</w:t>
            </w:r>
          </w:p>
          <w:p>
            <w:pPr>
              <w:jc w:val="center"/>
              <w:spacing w:after="0" w:line="240" w:lineRule="auto"/>
              <w:rPr>
                <w:sz w:val="22"/>
                <w:szCs w:val="22"/>
              </w:rPr>
            </w:pPr>
            <w:r>
              <w:rPr>
                <w:rFonts w:ascii="Times New Roman" w:hAnsi="Times New Roman" w:cs="Times New Roman"/>
                <w:color w:val="#000000"/>
                <w:sz w:val="22"/>
                <w:szCs w:val="22"/>
              </w:rPr>
              <w:t> Государство и религиозные организации: современный российский и мировой опыт</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Политическая конфликтология</w:t>
            </w:r>
          </w:p>
          <w:p>
            <w:pPr>
              <w:jc w:val="center"/>
              <w:spacing w:after="0" w:line="240" w:lineRule="auto"/>
              <w:rPr>
                <w:sz w:val="22"/>
                <w:szCs w:val="22"/>
              </w:rPr>
            </w:pPr>
            <w:r>
              <w:rPr>
                <w:rFonts w:ascii="Times New Roman" w:hAnsi="Times New Roman" w:cs="Times New Roman"/>
                <w:color w:val="#000000"/>
                <w:sz w:val="22"/>
                <w:szCs w:val="22"/>
              </w:rPr>
              <w:t> Политическая регионалистика</w:t>
            </w:r>
          </w:p>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p>
            <w:pPr>
              <w:jc w:val="center"/>
              <w:spacing w:after="0" w:line="240" w:lineRule="auto"/>
              <w:rPr>
                <w:sz w:val="22"/>
                <w:szCs w:val="22"/>
              </w:rPr>
            </w:pPr>
            <w:r>
              <w:rPr>
                <w:rFonts w:ascii="Times New Roman" w:hAnsi="Times New Roman" w:cs="Times New Roman"/>
                <w:color w:val="#000000"/>
                <w:sz w:val="22"/>
                <w:szCs w:val="22"/>
              </w:rPr>
              <w:t> Политические культуры</w:t>
            </w:r>
          </w:p>
          <w:p>
            <w:pPr>
              <w:jc w:val="center"/>
              <w:spacing w:after="0" w:line="240" w:lineRule="auto"/>
              <w:rPr>
                <w:sz w:val="22"/>
                <w:szCs w:val="22"/>
              </w:rPr>
            </w:pPr>
            <w:r>
              <w:rPr>
                <w:rFonts w:ascii="Times New Roman" w:hAnsi="Times New Roman" w:cs="Times New Roman"/>
                <w:color w:val="#000000"/>
                <w:sz w:val="22"/>
                <w:szCs w:val="22"/>
              </w:rPr>
              <w:t> Политические технологии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Политические институты</w:t>
            </w:r>
          </w:p>
          <w:p>
            <w:pPr>
              <w:jc w:val="center"/>
              <w:spacing w:after="0" w:line="240" w:lineRule="auto"/>
              <w:rPr>
                <w:sz w:val="22"/>
                <w:szCs w:val="22"/>
              </w:rPr>
            </w:pPr>
            <w:r>
              <w:rPr>
                <w:rFonts w:ascii="Times New Roman" w:hAnsi="Times New Roman" w:cs="Times New Roman"/>
                <w:color w:val="#000000"/>
                <w:sz w:val="22"/>
                <w:szCs w:val="22"/>
              </w:rPr>
              <w:t> Этнополитология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p>
            <w:pPr>
              <w:jc w:val="center"/>
              <w:spacing w:after="0" w:line="240" w:lineRule="auto"/>
              <w:rPr>
                <w:sz w:val="22"/>
                <w:szCs w:val="22"/>
              </w:rPr>
            </w:pPr>
            <w:r>
              <w:rPr>
                <w:rFonts w:ascii="Times New Roman" w:hAnsi="Times New Roman" w:cs="Times New Roman"/>
                <w:color w:val="#000000"/>
                <w:sz w:val="22"/>
                <w:szCs w:val="22"/>
              </w:rPr>
              <w:t> Политические отношения и политический процесс в сфере межнациональных и межрелигиозных отношений Омской области</w:t>
            </w:r>
          </w:p>
          <w:p>
            <w:pPr>
              <w:jc w:val="center"/>
              <w:spacing w:after="0" w:line="240" w:lineRule="auto"/>
              <w:rPr>
                <w:sz w:val="22"/>
                <w:szCs w:val="22"/>
              </w:rPr>
            </w:pPr>
            <w:r>
              <w:rPr>
                <w:rFonts w:ascii="Times New Roman" w:hAnsi="Times New Roman" w:cs="Times New Roman"/>
                <w:color w:val="#000000"/>
                <w:sz w:val="22"/>
                <w:szCs w:val="22"/>
              </w:rPr>
              <w:t> Политический анализ</w:t>
            </w:r>
          </w:p>
          <w:p>
            <w:pPr>
              <w:jc w:val="center"/>
              <w:spacing w:after="0" w:line="240" w:lineRule="auto"/>
              <w:rPr>
                <w:sz w:val="22"/>
                <w:szCs w:val="22"/>
              </w:rPr>
            </w:pPr>
            <w:r>
              <w:rPr>
                <w:rFonts w:ascii="Times New Roman" w:hAnsi="Times New Roman" w:cs="Times New Roman"/>
                <w:color w:val="#000000"/>
                <w:sz w:val="22"/>
                <w:szCs w:val="22"/>
              </w:rPr>
              <w:t> Сравнительная политология</w:t>
            </w:r>
          </w:p>
          <w:p>
            <w:pPr>
              <w:jc w:val="center"/>
              <w:spacing w:after="0" w:line="240" w:lineRule="auto"/>
              <w:rPr>
                <w:sz w:val="22"/>
                <w:szCs w:val="22"/>
              </w:rPr>
            </w:pPr>
            <w:r>
              <w:rPr>
                <w:rFonts w:ascii="Times New Roman" w:hAnsi="Times New Roman" w:cs="Times New Roman"/>
                <w:color w:val="#000000"/>
                <w:sz w:val="22"/>
                <w:szCs w:val="22"/>
              </w:rPr>
              <w:t> Этнополитические процессы в современной России и мире</w:t>
            </w:r>
          </w:p>
          <w:p>
            <w:pPr>
              <w:jc w:val="center"/>
              <w:spacing w:after="0" w:line="240" w:lineRule="auto"/>
              <w:rPr>
                <w:sz w:val="22"/>
                <w:szCs w:val="22"/>
              </w:rPr>
            </w:pPr>
            <w:r>
              <w:rPr>
                <w:rFonts w:ascii="Times New Roman" w:hAnsi="Times New Roman" w:cs="Times New Roman"/>
                <w:color w:val="#000000"/>
                <w:sz w:val="22"/>
                <w:szCs w:val="22"/>
              </w:rPr>
              <w:t> Межнациональные и межрелигиозные отношения в Омской области</w:t>
            </w:r>
          </w:p>
          <w:p>
            <w:pPr>
              <w:jc w:val="center"/>
              <w:spacing w:after="0" w:line="240" w:lineRule="auto"/>
              <w:rPr>
                <w:sz w:val="22"/>
                <w:szCs w:val="22"/>
              </w:rPr>
            </w:pPr>
            <w:r>
              <w:rPr>
                <w:rFonts w:ascii="Times New Roman" w:hAnsi="Times New Roman" w:cs="Times New Roman"/>
                <w:color w:val="#000000"/>
                <w:sz w:val="22"/>
                <w:szCs w:val="22"/>
              </w:rPr>
              <w:t> Технологии регулирования национальных и религиозных конфликтов</w:t>
            </w:r>
          </w:p>
          <w:p>
            <w:pPr>
              <w:jc w:val="center"/>
              <w:spacing w:after="0" w:line="240" w:lineRule="auto"/>
              <w:rPr>
                <w:sz w:val="22"/>
                <w:szCs w:val="22"/>
              </w:rPr>
            </w:pPr>
            <w:r>
              <w:rPr>
                <w:rFonts w:ascii="Times New Roman" w:hAnsi="Times New Roman" w:cs="Times New Roman"/>
                <w:color w:val="#000000"/>
                <w:sz w:val="22"/>
                <w:szCs w:val="22"/>
              </w:rPr>
              <w:t> Современные религиозные течения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УК-2, ПК-2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30.308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экспертиза: сущность, строение и</w:t>
            </w:r>
          </w:p>
          <w:p>
            <w:pPr>
              <w:jc w:val="left"/>
              <w:spacing w:after="0" w:line="240" w:lineRule="auto"/>
              <w:rPr>
                <w:sz w:val="24"/>
                <w:szCs w:val="24"/>
              </w:rPr>
            </w:pPr>
            <w:r>
              <w:rPr>
                <w:rFonts w:ascii="Times New Roman" w:hAnsi="Times New Roman" w:cs="Times New Roman"/>
                <w:color w:val="#000000"/>
                <w:sz w:val="24"/>
                <w:szCs w:val="24"/>
              </w:rPr>
              <w:t>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Экспертный опрос как метод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формы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Экспертно-аналитические центры в сфере внешней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организации в сфере внутренней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экспертиза: сущность, строение и</w:t>
            </w:r>
          </w:p>
          <w:p>
            <w:pPr>
              <w:jc w:val="left"/>
              <w:spacing w:after="0" w:line="240" w:lineRule="auto"/>
              <w:rPr>
                <w:sz w:val="24"/>
                <w:szCs w:val="24"/>
              </w:rPr>
            </w:pPr>
            <w:r>
              <w:rPr>
                <w:rFonts w:ascii="Times New Roman" w:hAnsi="Times New Roman" w:cs="Times New Roman"/>
                <w:color w:val="#000000"/>
                <w:sz w:val="24"/>
                <w:szCs w:val="24"/>
              </w:rPr>
              <w:t>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Экспертный опрос как метод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формы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Экспертно-аналитические центры в сфере внешней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организации в сфере внутренней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экспертиза: сущность, строение и</w:t>
            </w:r>
          </w:p>
          <w:p>
            <w:pPr>
              <w:jc w:val="left"/>
              <w:spacing w:after="0" w:line="240" w:lineRule="auto"/>
              <w:rPr>
                <w:sz w:val="24"/>
                <w:szCs w:val="24"/>
              </w:rPr>
            </w:pPr>
            <w:r>
              <w:rPr>
                <w:rFonts w:ascii="Times New Roman" w:hAnsi="Times New Roman" w:cs="Times New Roman"/>
                <w:color w:val="#000000"/>
                <w:sz w:val="24"/>
                <w:szCs w:val="24"/>
              </w:rPr>
              <w:t>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Экспертный опрос как метод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формы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Экспертно-аналитические центры в сфере внешней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организации в сфере внутренней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экспертиза: сущность, строение и</w:t>
            </w:r>
          </w:p>
          <w:p>
            <w:pPr>
              <w:jc w:val="left"/>
              <w:spacing w:after="0" w:line="240" w:lineRule="auto"/>
              <w:rPr>
                <w:sz w:val="24"/>
                <w:szCs w:val="24"/>
              </w:rPr>
            </w:pPr>
            <w:r>
              <w:rPr>
                <w:rFonts w:ascii="Times New Roman" w:hAnsi="Times New Roman" w:cs="Times New Roman"/>
                <w:color w:val="#000000"/>
                <w:sz w:val="24"/>
                <w:szCs w:val="24"/>
              </w:rPr>
              <w:t>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Экспертный опрос как метод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формы политической</w:t>
            </w:r>
          </w:p>
          <w:p>
            <w:pPr>
              <w:jc w:val="left"/>
              <w:spacing w:after="0" w:line="240" w:lineRule="auto"/>
              <w:rPr>
                <w:sz w:val="24"/>
                <w:szCs w:val="24"/>
              </w:rPr>
            </w:pPr>
            <w:r>
              <w:rPr>
                <w:rFonts w:ascii="Times New Roman" w:hAnsi="Times New Roman" w:cs="Times New Roman"/>
                <w:color w:val="#000000"/>
                <w:sz w:val="24"/>
                <w:szCs w:val="24"/>
              </w:rPr>
              <w:t>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Экспертно-аналитические центры в сфере внешней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организации в сфере внутренней</w:t>
            </w:r>
          </w:p>
          <w:p>
            <w:pPr>
              <w:jc w:val="left"/>
              <w:spacing w:after="0" w:line="240" w:lineRule="auto"/>
              <w:rPr>
                <w:sz w:val="24"/>
                <w:szCs w:val="24"/>
              </w:rPr>
            </w:pPr>
            <w:r>
              <w:rPr>
                <w:rFonts w:ascii="Times New Roman" w:hAnsi="Times New Roman" w:cs="Times New Roman"/>
                <w:color w:val="#000000"/>
                <w:sz w:val="24"/>
                <w:szCs w:val="24"/>
              </w:rPr>
              <w:t>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97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экспертиза: сущность, строение и</w:t>
            </w:r>
          </w:p>
          <w:p>
            <w:pPr>
              <w:jc w:val="center"/>
              <w:spacing w:after="0" w:line="240" w:lineRule="auto"/>
              <w:rPr>
                <w:sz w:val="24"/>
                <w:szCs w:val="24"/>
              </w:rPr>
            </w:pPr>
            <w:r>
              <w:rPr>
                <w:rFonts w:ascii="Times New Roman" w:hAnsi="Times New Roman" w:cs="Times New Roman"/>
                <w:b/>
                <w:color w:val="#000000"/>
                <w:sz w:val="24"/>
                <w:szCs w:val="24"/>
              </w:rPr>
              <w:t> задачи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57.0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политической экспертизы. Развитие</w:t>
            </w:r>
          </w:p>
          <w:p>
            <w:pPr>
              <w:jc w:val="both"/>
              <w:spacing w:after="0" w:line="240" w:lineRule="auto"/>
              <w:rPr>
                <w:sz w:val="24"/>
                <w:szCs w:val="24"/>
              </w:rPr>
            </w:pPr>
            <w:r>
              <w:rPr>
                <w:rFonts w:ascii="Times New Roman" w:hAnsi="Times New Roman" w:cs="Times New Roman"/>
                <w:color w:val="#000000"/>
                <w:sz w:val="24"/>
                <w:szCs w:val="24"/>
              </w:rPr>
              <w:t> политической экспертизы как профессии. Научные школы исследований политической экспертизы. Основные виды политической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методы самоорганизации экспертных</w:t>
            </w:r>
          </w:p>
          <w:p>
            <w:pPr>
              <w:jc w:val="both"/>
              <w:spacing w:after="0" w:line="240" w:lineRule="auto"/>
              <w:rPr>
                <w:sz w:val="24"/>
                <w:szCs w:val="24"/>
              </w:rPr>
            </w:pPr>
            <w:r>
              <w:rPr>
                <w:rFonts w:ascii="Times New Roman" w:hAnsi="Times New Roman" w:cs="Times New Roman"/>
                <w:color w:val="#000000"/>
                <w:sz w:val="24"/>
                <w:szCs w:val="24"/>
              </w:rPr>
              <w:t> сообществ: зарубежный опыт. Задачи политической экспертизы.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технологии политической экспертизы.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Процедуры экспертной деятельности. Экспертиза политических текстов. Ситуационный анализ.</w:t>
            </w:r>
          </w:p>
          <w:p>
            <w:pPr>
              <w:jc w:val="both"/>
              <w:spacing w:after="0" w:line="240" w:lineRule="auto"/>
              <w:rPr>
                <w:sz w:val="24"/>
                <w:szCs w:val="24"/>
              </w:rPr>
            </w:pPr>
            <w:r>
              <w:rPr>
                <w:rFonts w:ascii="Times New Roman" w:hAnsi="Times New Roman" w:cs="Times New Roman"/>
                <w:color w:val="#000000"/>
                <w:sz w:val="24"/>
                <w:szCs w:val="24"/>
              </w:rPr>
              <w:t> Принципы правового регулирования политикоэкспертной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Экспертный опрос как метод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Экспертная оценка. Требования к эксперту. Методы отбора экспертов. Учет социальнопсихологических факторов формирования экспертных оценок. Разовый индивидуальный</w:t>
            </w:r>
          </w:p>
          <w:p>
            <w:pPr>
              <w:jc w:val="both"/>
              <w:spacing w:after="0" w:line="240" w:lineRule="auto"/>
              <w:rPr>
                <w:sz w:val="24"/>
                <w:szCs w:val="24"/>
              </w:rPr>
            </w:pPr>
            <w:r>
              <w:rPr>
                <w:rFonts w:ascii="Times New Roman" w:hAnsi="Times New Roman" w:cs="Times New Roman"/>
                <w:color w:val="#000000"/>
                <w:sz w:val="24"/>
                <w:szCs w:val="24"/>
              </w:rPr>
              <w:t> опрос. Однократный коллективный опрос. Индивидуальный опрос в несколько туров. Коллективный опрос в несколько туров. Формирование</w:t>
            </w:r>
          </w:p>
          <w:p>
            <w:pPr>
              <w:jc w:val="both"/>
              <w:spacing w:after="0" w:line="240" w:lineRule="auto"/>
              <w:rPr>
                <w:sz w:val="24"/>
                <w:szCs w:val="24"/>
              </w:rPr>
            </w:pPr>
            <w:r>
              <w:rPr>
                <w:rFonts w:ascii="Times New Roman" w:hAnsi="Times New Roman" w:cs="Times New Roman"/>
                <w:color w:val="#000000"/>
                <w:sz w:val="24"/>
                <w:szCs w:val="24"/>
              </w:rPr>
              <w:t> экспертных групп.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формы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«Фабрики мысли». Классификация современных экспертных центров в современной России и за рубежом. «Фабрики мысли»: академические, контрактные, идеологизированные и партийные. Влияние политической экспертизы на центры публичной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Экспертно-аналитические центры в сфере внешней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сообщества в глобальной публичной политике. Условия развития и факторы влияния экспертных сообществ на глобальном и национальном уровнях. Роль политической экспертизы в управлении международными конфликтами. Внешнеполитическая экспертиза в США. Европейские экспертно-аналитические центры в сфере внешней политики. Экспертноаналитические центры в обеспечении внешней политики России. Сущность и процедуры организации экспертизы геополитических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Институциональное строение и направления деятельности российских «фабрик мысли» по вопросам геополитики и безопасности. Алгоритмы и процедуры политической экспертизы проблем геополитики и безопасности в ЧерноморскоКаспийском регионе.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организации в сфере внутренней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взаимодействия органов власти и экспертных сообществ в России. Политические</w:t>
            </w:r>
          </w:p>
          <w:p>
            <w:pPr>
              <w:jc w:val="both"/>
              <w:spacing w:after="0" w:line="240" w:lineRule="auto"/>
              <w:rPr>
                <w:sz w:val="24"/>
                <w:szCs w:val="24"/>
              </w:rPr>
            </w:pPr>
            <w:r>
              <w:rPr>
                <w:rFonts w:ascii="Times New Roman" w:hAnsi="Times New Roman" w:cs="Times New Roman"/>
                <w:color w:val="#000000"/>
                <w:sz w:val="24"/>
                <w:szCs w:val="24"/>
              </w:rPr>
              <w:t> форматы взаимодействия власти и экспертных сообществ в России. Политическая субъектность экспертных сообществ в России. Функции формирования повестки дня в политической экспертизе. Экспертные организации в формировании политической повестки дня России. Экспертные заключения в информационно-аналитическом обеспечении политического управления. Цели и задачи, особенности государственной экспертизы. Функции и процедуры публичной экспертизы в политической системе России. Идеологическое позиционирование экспертноаналитических центров и сообществ в России.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государственной национальной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этнополитической экспертизы, её нормативно-правовое регулирование в России.</w:t>
            </w:r>
          </w:p>
          <w:p>
            <w:pPr>
              <w:jc w:val="both"/>
              <w:spacing w:after="0" w:line="240" w:lineRule="auto"/>
              <w:rPr>
                <w:sz w:val="24"/>
                <w:szCs w:val="24"/>
              </w:rPr>
            </w:pPr>
            <w:r>
              <w:rPr>
                <w:rFonts w:ascii="Times New Roman" w:hAnsi="Times New Roman" w:cs="Times New Roman"/>
                <w:color w:val="#000000"/>
                <w:sz w:val="24"/>
                <w:szCs w:val="24"/>
              </w:rPr>
              <w:t> Институциональное строение экспертизы государственной национальной политики РФ. Основные экспертно-аналитические центры в сфере этнополитики в России. Организация мониторинга этнополитических процессов и национальной политики на Юге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в сфере государственноконфессиональных отношений.</w:t>
            </w:r>
          </w:p>
        </w:tc>
      </w:tr>
      <w:tr>
        <w:trPr>
          <w:trHeight w:hRule="exact" w:val="936.2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принципы и задачи религиоведческой экспертизы в России. Методология и методики проведения религиоведческой экспертизы в сфере государственно- конфессиональных отношений. Методология и методики проведения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религиоведческой экспертизы по вопросам установления признаков экстремизма. Этапы и процедуры проведения государственной и общественной религиоведческой экспертизы в РФ.</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систем управления посредством социально-экономической экспертизы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экспериментирование и его особенности. Этапы исследования социально-экономических систем посредством эксперименти¬рования. Анализ, клас- сификация и интерпретация результатов социально-эко¬номических экспериментов.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экспертиза: сущность, строение и</w:t>
            </w:r>
          </w:p>
          <w:p>
            <w:pPr>
              <w:jc w:val="center"/>
              <w:spacing w:after="0" w:line="240" w:lineRule="auto"/>
              <w:rPr>
                <w:sz w:val="24"/>
                <w:szCs w:val="24"/>
              </w:rPr>
            </w:pPr>
            <w:r>
              <w:rPr>
                <w:rFonts w:ascii="Times New Roman" w:hAnsi="Times New Roman" w:cs="Times New Roman"/>
                <w:b/>
                <w:color w:val="#000000"/>
                <w:sz w:val="24"/>
                <w:szCs w:val="24"/>
              </w:rPr>
              <w:t> задачи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технологии политической экспертизы.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Экспертный опрос как метод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формы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Экспертно-аналитические центры в сфере внешней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организации в сфере внутренней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государственной национальной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в сфере государственноконфессиональных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систем управления посредством социально-экономической экспертизы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 и кейсов. Круглый стол.</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экспертиза: сущность, строение и</w:t>
            </w:r>
          </w:p>
          <w:p>
            <w:pPr>
              <w:jc w:val="center"/>
              <w:spacing w:after="0" w:line="240" w:lineRule="auto"/>
              <w:rPr>
                <w:sz w:val="24"/>
                <w:szCs w:val="24"/>
              </w:rPr>
            </w:pPr>
            <w:r>
              <w:rPr>
                <w:rFonts w:ascii="Times New Roman" w:hAnsi="Times New Roman" w:cs="Times New Roman"/>
                <w:b/>
                <w:color w:val="#000000"/>
                <w:sz w:val="24"/>
                <w:szCs w:val="24"/>
              </w:rPr>
              <w:t> задачи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политической экспертизы. Развитие</w:t>
            </w:r>
          </w:p>
          <w:p>
            <w:pPr>
              <w:jc w:val="left"/>
              <w:spacing w:after="0" w:line="240" w:lineRule="auto"/>
              <w:rPr>
                <w:sz w:val="24"/>
                <w:szCs w:val="24"/>
              </w:rPr>
            </w:pPr>
            <w:r>
              <w:rPr>
                <w:rFonts w:ascii="Times New Roman" w:hAnsi="Times New Roman" w:cs="Times New Roman"/>
                <w:color w:val="#000000"/>
                <w:sz w:val="24"/>
                <w:szCs w:val="24"/>
              </w:rPr>
              <w:t> политической экспертизы как профессии. Научные школы исследований политической экспертизы. Основные виды политической экспертизы.</w:t>
            </w:r>
          </w:p>
          <w:p>
            <w:pPr>
              <w:jc w:val="left"/>
              <w:spacing w:after="0" w:line="240" w:lineRule="auto"/>
              <w:rPr>
                <w:sz w:val="24"/>
                <w:szCs w:val="24"/>
              </w:rPr>
            </w:pPr>
            <w:r>
              <w:rPr>
                <w:rFonts w:ascii="Times New Roman" w:hAnsi="Times New Roman" w:cs="Times New Roman"/>
                <w:color w:val="#000000"/>
                <w:sz w:val="24"/>
                <w:szCs w:val="24"/>
              </w:rPr>
              <w:t> Формы и методы самоорганизации экспертных</w:t>
            </w:r>
          </w:p>
          <w:p>
            <w:pPr>
              <w:jc w:val="left"/>
              <w:spacing w:after="0" w:line="240" w:lineRule="auto"/>
              <w:rPr>
                <w:sz w:val="24"/>
                <w:szCs w:val="24"/>
              </w:rPr>
            </w:pPr>
            <w:r>
              <w:rPr>
                <w:rFonts w:ascii="Times New Roman" w:hAnsi="Times New Roman" w:cs="Times New Roman"/>
                <w:color w:val="#000000"/>
                <w:sz w:val="24"/>
                <w:szCs w:val="24"/>
              </w:rPr>
              <w:t> сообществ: зарубежный опыт. Задачи политической экспертизы.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технологии политической экспертизы.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экспертной деятельности. Экспертиза политических текстов. Ситуационный анализ.</w:t>
            </w:r>
          </w:p>
          <w:p>
            <w:pPr>
              <w:jc w:val="left"/>
              <w:spacing w:after="0" w:line="240" w:lineRule="auto"/>
              <w:rPr>
                <w:sz w:val="24"/>
                <w:szCs w:val="24"/>
              </w:rPr>
            </w:pPr>
            <w:r>
              <w:rPr>
                <w:rFonts w:ascii="Times New Roman" w:hAnsi="Times New Roman" w:cs="Times New Roman"/>
                <w:color w:val="#000000"/>
                <w:sz w:val="24"/>
                <w:szCs w:val="24"/>
              </w:rPr>
              <w:t> Принципы правового регулирования политикоэкспертной деятельности.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Экспертный опрос как метод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21.31518"/>
        </w:trPr>
        <w:tc>
          <w:tcPr>
            <w:tcW w:w="9640" w:type="dxa"/>
          </w:tcPr>
          <w:p/>
        </w:tc>
      </w:tr>
      <w:tr>
        <w:trPr>
          <w:trHeight w:hRule="exact" w:val="1231.7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Экспертная оценка. Требования к эксперту. Методы отбора экспертов. Учет социальнопсихологических факторов формирования экспертных оценок. Разовый индивидуальный</w:t>
            </w:r>
          </w:p>
          <w:p>
            <w:pPr>
              <w:jc w:val="left"/>
              <w:spacing w:after="0" w:line="240" w:lineRule="auto"/>
              <w:rPr>
                <w:sz w:val="24"/>
                <w:szCs w:val="24"/>
              </w:rPr>
            </w:pPr>
            <w:r>
              <w:rPr>
                <w:rFonts w:ascii="Times New Roman" w:hAnsi="Times New Roman" w:cs="Times New Roman"/>
                <w:color w:val="#000000"/>
                <w:sz w:val="24"/>
                <w:szCs w:val="24"/>
              </w:rPr>
              <w:t> опрос. Однократный коллективный опрос. Индивидуальный опрос в несколько туров.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Коллективный опрос в несколько туров. Формирование</w:t>
            </w:r>
          </w:p>
          <w:p>
            <w:pPr>
              <w:jc w:val="left"/>
              <w:spacing w:after="0" w:line="240" w:lineRule="auto"/>
              <w:rPr>
                <w:sz w:val="24"/>
                <w:szCs w:val="24"/>
              </w:rPr>
            </w:pPr>
            <w:r>
              <w:rPr>
                <w:rFonts w:ascii="Times New Roman" w:hAnsi="Times New Roman" w:cs="Times New Roman"/>
                <w:color w:val="#000000"/>
                <w:sz w:val="24"/>
                <w:szCs w:val="24"/>
              </w:rPr>
              <w:t> экспертных групп.</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формы политической</w:t>
            </w:r>
          </w:p>
          <w:p>
            <w:pPr>
              <w:jc w:val="center"/>
              <w:spacing w:after="0" w:line="240" w:lineRule="auto"/>
              <w:rPr>
                <w:sz w:val="24"/>
                <w:szCs w:val="24"/>
              </w:rPr>
            </w:pPr>
            <w:r>
              <w:rPr>
                <w:rFonts w:ascii="Times New Roman" w:hAnsi="Times New Roman" w:cs="Times New Roman"/>
                <w:b/>
                <w:color w:val="#000000"/>
                <w:sz w:val="24"/>
                <w:szCs w:val="24"/>
              </w:rPr>
              <w:t> экспертизы.</w:t>
            </w:r>
          </w:p>
        </w:tc>
      </w:tr>
      <w:tr>
        <w:trPr>
          <w:trHeight w:hRule="exact" w:val="21.3150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«Фабрики мысли». Классификация современных экспертных центров в современной России и за рубежом. «Фабрики мысли»: академические, контрактные, идеологизированные и партийные. Влияние политической экспертизы на центры публичной политики.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Экспертно-аналитические центры в сфере внешней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сообщества в глобальной публичной политике. Условия развития и факторы влияния экспертных сообществ на глобальном и национальном уровнях. Роль политической экспертизы в управлении международными конфликтами. Внешнеполитическая экспертиза в США. Европейские экспертно-аналитические центры в сфере внешней политики. Экспертноаналитические центры в обеспечении внешней политики России. Сущность и процедуры организации экспертизы геополитических процессов.</w:t>
            </w:r>
          </w:p>
          <w:p>
            <w:pPr>
              <w:jc w:val="left"/>
              <w:spacing w:after="0" w:line="240" w:lineRule="auto"/>
              <w:rPr>
                <w:sz w:val="24"/>
                <w:szCs w:val="24"/>
              </w:rPr>
            </w:pPr>
            <w:r>
              <w:rPr>
                <w:rFonts w:ascii="Times New Roman" w:hAnsi="Times New Roman" w:cs="Times New Roman"/>
                <w:color w:val="#000000"/>
                <w:sz w:val="24"/>
                <w:szCs w:val="24"/>
              </w:rPr>
              <w:t> Институциональное строение и направления деятельности российских «фабрик мысли» по вопросам геополитики и безопасности. Алгоритмы и процедуры политической экспертизы проблем геополитики и безопасности в ЧерноморскоКаспийском регионе.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организации в сфере внутренней</w:t>
            </w:r>
          </w:p>
          <w:p>
            <w:pPr>
              <w:jc w:val="center"/>
              <w:spacing w:after="0" w:line="240" w:lineRule="auto"/>
              <w:rPr>
                <w:sz w:val="24"/>
                <w:szCs w:val="24"/>
              </w:rPr>
            </w:pPr>
            <w:r>
              <w:rPr>
                <w:rFonts w:ascii="Times New Roman" w:hAnsi="Times New Roman" w:cs="Times New Roman"/>
                <w:b/>
                <w:color w:val="#000000"/>
                <w:sz w:val="24"/>
                <w:szCs w:val="24"/>
              </w:rPr>
              <w:t> политики.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взаимодействия органов власти и экспертных сообществ в России. Политические</w:t>
            </w:r>
          </w:p>
          <w:p>
            <w:pPr>
              <w:jc w:val="left"/>
              <w:spacing w:after="0" w:line="240" w:lineRule="auto"/>
              <w:rPr>
                <w:sz w:val="24"/>
                <w:szCs w:val="24"/>
              </w:rPr>
            </w:pPr>
            <w:r>
              <w:rPr>
                <w:rFonts w:ascii="Times New Roman" w:hAnsi="Times New Roman" w:cs="Times New Roman"/>
                <w:color w:val="#000000"/>
                <w:sz w:val="24"/>
                <w:szCs w:val="24"/>
              </w:rPr>
              <w:t> форматы взаимодействия власти и экспертных сообществ в России. Политическая субъектность экспертных сообществ в России. Функции формирования повестки дня в политической экспертизе. Экспертные организации в формировании политической повестки дня России. Экспертные заключения в информационно-аналитическом обеспечении политического управления. Цели и задачи, особенности государственной экспертизы. Функции и процедуры публичной экспертизы в политической системе России. Идеологическое позиционирование экспертноаналитических центров и сообществ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государственной национальной политики.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этнополитической экспертизы, её нормативно-правовое регулирование в России.</w:t>
            </w:r>
          </w:p>
          <w:p>
            <w:pPr>
              <w:jc w:val="left"/>
              <w:spacing w:after="0" w:line="240" w:lineRule="auto"/>
              <w:rPr>
                <w:sz w:val="24"/>
                <w:szCs w:val="24"/>
              </w:rPr>
            </w:pPr>
            <w:r>
              <w:rPr>
                <w:rFonts w:ascii="Times New Roman" w:hAnsi="Times New Roman" w:cs="Times New Roman"/>
                <w:color w:val="#000000"/>
                <w:sz w:val="24"/>
                <w:szCs w:val="24"/>
              </w:rPr>
              <w:t> Институциональное строение экспертизы государственной национальной политики РФ. Основные экспертно-аналитические центры в сфере этнополитики в России. Организация мониторинга этнополитических процессов и национальной политики на Юге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в сфере государственноконфессиональных отношений.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принципы и задачи религиоведческой экспертизы в России. Методология и методики проведения религиоведческой экспертизы в сфере государственно- конфессиональных отношений. Методология и методики проведения религиоведческой экспертизы по вопросам установления признаков экстремизма. Этапы и процедуры проведения государственной и общественной религиоведческой экспертизы в РФ.</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систем управления посредством социально-экономической экспертизы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экспериментирование и его особенности. Этапы исследования социально-экономических систем посредством эксперименти¬рования. Анализ, клас- сификация и интерпретация результатов социально-эко¬номических экспериментов.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«Экспертиза политики и управленческих систем»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демократия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https://urait.ru/bcode/451516</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Коммуникативные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глобалистика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https://urait.ru/bcode/452225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экстремизма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Милешина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Надькин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Потапова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https://urait.ru/bcode/454111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2024-2025_ФГОС3++2024_Бак-ОФО-Полит(24)_plx_Экспертиза политики и управленческих систем</dc:title>
  <dc:creator>FastReport.NET</dc:creator>
</cp:coreProperties>
</file>